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9E4582">
      <w:pPr>
        <w:jc w:val="center"/>
        <w:rPr>
          <w:rFonts w:ascii="Times New Roman" w:hAnsi="Times New Roman" w:eastAsia="宋体" w:cs="Times New Roman"/>
          <w:b/>
          <w:bCs/>
          <w:sz w:val="22"/>
        </w:rPr>
      </w:pPr>
      <w:r>
        <w:rPr>
          <w:rFonts w:hint="eastAsia" w:ascii="Times New Roman" w:hAnsi="Times New Roman" w:eastAsia="宋体" w:cs="Times New Roman"/>
          <w:b/>
          <w:bCs/>
          <w:sz w:val="22"/>
        </w:rPr>
        <w:t>第3章 物质在水溶液中的行为</w:t>
      </w:r>
    </w:p>
    <w:p w14:paraId="6DDD6085">
      <w:pPr>
        <w:jc w:val="center"/>
        <w:rPr>
          <w:rFonts w:ascii="Times New Roman" w:hAnsi="Times New Roman" w:eastAsia="宋体" w:cs="Times New Roman"/>
          <w:b/>
          <w:bCs/>
          <w:sz w:val="22"/>
        </w:rPr>
      </w:pPr>
      <w:r>
        <w:rPr>
          <w:rFonts w:hint="eastAsia" w:ascii="Times New Roman" w:hAnsi="Times New Roman" w:eastAsia="宋体" w:cs="Times New Roman"/>
          <w:b/>
          <w:bCs/>
          <w:sz w:val="22"/>
        </w:rPr>
        <w:t>第2节 弱电解质的电离 盐类的水解</w:t>
      </w:r>
    </w:p>
    <w:p w14:paraId="60CCB56B">
      <w:pPr>
        <w:jc w:val="center"/>
        <w:rPr>
          <w:rFonts w:ascii="Times New Roman" w:hAnsi="Times New Roman" w:eastAsia="宋体" w:cs="Times New Roman"/>
          <w:b/>
          <w:bCs/>
          <w:sz w:val="22"/>
          <w:lang w:val="zh-CN"/>
        </w:rPr>
      </w:pPr>
      <w:r>
        <w:rPr>
          <w:rFonts w:hint="eastAsia" w:ascii="Times New Roman" w:hAnsi="Times New Roman" w:eastAsia="宋体" w:cs="Times New Roman"/>
          <w:b/>
          <w:bCs/>
          <w:sz w:val="22"/>
        </w:rPr>
        <w:t>课时1</w:t>
      </w:r>
      <w:r>
        <w:rPr>
          <w:rFonts w:ascii="Times New Roman" w:hAnsi="Times New Roman" w:eastAsia="宋体" w:cs="Times New Roman"/>
          <w:b/>
          <w:bCs/>
          <w:sz w:val="22"/>
          <w:lang w:val="zh-CN"/>
        </w:rPr>
        <w:t>弱电解质的电离平衡</w:t>
      </w:r>
    </w:p>
    <w:p w14:paraId="2858A150">
      <w:pPr>
        <w:spacing w:line="420" w:lineRule="exact"/>
        <w:rPr>
          <w:rFonts w:ascii="Times New Roman" w:hAnsi="Times New Roman" w:eastAsia="宋体" w:cs="Times New Roman"/>
          <w:b/>
          <w:bCs/>
          <w:color w:val="91ABDF"/>
          <w:sz w:val="22"/>
          <w:u w:val="thick"/>
        </w:rPr>
      </w:pPr>
      <w:r>
        <w:rPr>
          <w:rFonts w:ascii="Times New Roman" w:hAnsi="Times New Roman" w:eastAsia="宋体" w:cs="Times New Roman"/>
          <w:b/>
          <w:bCs/>
          <w:sz w:val="22"/>
        </w:rPr>
        <w:t>预习填空</w:t>
      </w:r>
    </w:p>
    <w:p w14:paraId="6B3152ED">
      <w:pPr>
        <w:spacing w:line="420" w:lineRule="exact"/>
        <w:rPr>
          <w:rFonts w:ascii="Times New Roman" w:hAnsi="Times New Roman" w:eastAsia="宋体" w:cs="Times New Roman"/>
          <w:b/>
          <w:bCs/>
          <w:sz w:val="22"/>
        </w:rPr>
      </w:pPr>
      <w:r>
        <w:rPr>
          <w:rFonts w:ascii="Times New Roman" w:hAnsi="Times New Roman" w:eastAsia="宋体" w:cs="Times New Roman"/>
          <w:b/>
          <w:bCs/>
          <w:sz w:val="22"/>
        </w:rPr>
        <w:t>一、强电解质和弱电解质</w:t>
      </w:r>
    </w:p>
    <w:p w14:paraId="5E473845">
      <w:pPr>
        <w:spacing w:line="420" w:lineRule="exact"/>
        <w:rPr>
          <w:rFonts w:ascii="Times New Roman" w:hAnsi="Times New Roman" w:eastAsia="宋体" w:cs="Times New Roman"/>
          <w:szCs w:val="21"/>
        </w:rPr>
      </w:pPr>
      <w:r>
        <w:rPr>
          <w:rFonts w:ascii="Times New Roman" w:hAnsi="Times New Roman" w:eastAsia="宋体" w:cs="Times New Roman"/>
          <w:szCs w:val="21"/>
        </w:rPr>
        <w:t>1.电解质和非电解质</w:t>
      </w:r>
    </w:p>
    <w:p w14:paraId="6D4697BD">
      <w:pPr>
        <w:spacing w:line="420" w:lineRule="exact"/>
        <w:rPr>
          <w:rFonts w:ascii="Times New Roman" w:hAnsi="Times New Roman" w:eastAsia="宋体" w:cs="Times New Roman"/>
          <w:szCs w:val="21"/>
        </w:rPr>
      </w:pPr>
      <w:r>
        <w:rPr>
          <w:rFonts w:ascii="Times New Roman" w:hAnsi="Times New Roman" w:eastAsia="宋体" w:cs="Times New Roman"/>
          <w:szCs w:val="21"/>
        </w:rPr>
        <w:t>电解质:在水溶液中或熔融状态下能导电的</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 </w:t>
      </w:r>
    </w:p>
    <w:p w14:paraId="48382459">
      <w:pPr>
        <w:spacing w:line="420" w:lineRule="exact"/>
        <w:rPr>
          <w:rFonts w:ascii="Times New Roman" w:hAnsi="Times New Roman" w:eastAsia="宋体" w:cs="Times New Roman"/>
          <w:szCs w:val="21"/>
        </w:rPr>
      </w:pPr>
      <w:r>
        <w:rPr>
          <w:rFonts w:ascii="Times New Roman" w:hAnsi="Times New Roman" w:eastAsia="宋体" w:cs="Times New Roman"/>
          <w:szCs w:val="21"/>
        </w:rPr>
        <w:t>非电解质:在水溶液中和熔融状态下均以分子形式存在,因而不能导电的</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 </w:t>
      </w:r>
    </w:p>
    <w:p w14:paraId="2CD73962">
      <w:pPr>
        <w:spacing w:line="420" w:lineRule="exact"/>
        <w:rPr>
          <w:rFonts w:ascii="Times New Roman" w:hAnsi="Times New Roman" w:eastAsia="宋体" w:cs="Times New Roman"/>
          <w:szCs w:val="21"/>
        </w:rPr>
      </w:pPr>
      <w:r>
        <w:rPr>
          <w:rFonts w:ascii="Times New Roman" w:hAnsi="Times New Roman" w:eastAsia="宋体" w:cs="Times New Roman"/>
          <w:szCs w:val="21"/>
        </w:rPr>
        <w:t>2.强电解质和弱电解质</w:t>
      </w:r>
    </w:p>
    <w:p w14:paraId="57C13047">
      <w:pPr>
        <w:spacing w:line="420" w:lineRule="exact"/>
        <w:rPr>
          <w:rFonts w:ascii="Times New Roman" w:hAnsi="Times New Roman" w:eastAsia="宋体" w:cs="Times New Roman"/>
          <w:szCs w:val="21"/>
        </w:rPr>
      </w:pPr>
      <w:r>
        <w:rPr>
          <w:rFonts w:ascii="Times New Roman" w:hAnsi="Times New Roman" w:eastAsia="宋体" w:cs="Times New Roman"/>
          <w:szCs w:val="21"/>
        </w:rPr>
        <w:t>(1)强电解质:在水溶液中或熔融状态下能够</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电离的电解质。如</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、活泼金属氧化物等。 </w:t>
      </w:r>
    </w:p>
    <w:p w14:paraId="2965FF2B">
      <w:pPr>
        <w:spacing w:line="420" w:lineRule="exact"/>
        <w:rPr>
          <w:rFonts w:ascii="Times New Roman" w:hAnsi="Times New Roman" w:eastAsia="宋体" w:cs="Times New Roman"/>
          <w:szCs w:val="21"/>
        </w:rPr>
      </w:pPr>
      <w:r>
        <w:rPr>
          <w:rFonts w:ascii="Times New Roman" w:hAnsi="Times New Roman" w:eastAsia="宋体" w:cs="Times New Roman"/>
          <w:szCs w:val="21"/>
        </w:rPr>
        <w:t>(2)弱电解质:在水溶液中</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电离的电解质。如</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等。 </w:t>
      </w:r>
    </w:p>
    <w:p w14:paraId="48FAD343">
      <w:pPr>
        <w:spacing w:line="420" w:lineRule="exact"/>
        <w:rPr>
          <w:rFonts w:ascii="Times New Roman" w:hAnsi="Times New Roman" w:eastAsia="宋体" w:cs="Times New Roman"/>
          <w:szCs w:val="21"/>
        </w:rPr>
      </w:pPr>
      <w:r>
        <w:rPr>
          <w:rFonts w:ascii="Times New Roman" w:hAnsi="Times New Roman" w:eastAsia="宋体" w:cs="Times New Roman"/>
          <w:szCs w:val="21"/>
        </w:rPr>
        <w:t>3.电离方程式的书写</w:t>
      </w:r>
    </w:p>
    <w:p w14:paraId="5987857C">
      <w:pPr>
        <w:spacing w:line="420" w:lineRule="exact"/>
        <w:rPr>
          <w:rFonts w:ascii="Times New Roman" w:hAnsi="Times New Roman" w:eastAsia="宋体" w:cs="Times New Roman"/>
          <w:szCs w:val="21"/>
        </w:rPr>
      </w:pPr>
      <w:r>
        <w:rPr>
          <w:rFonts w:ascii="Cambria Math" w:hAnsi="Cambria Math" w:eastAsia="宋体" w:cs="Cambria Math"/>
          <w:szCs w:val="21"/>
        </w:rPr>
        <w:t>①</w:t>
      </w:r>
      <w:r>
        <w:rPr>
          <w:rFonts w:ascii="Times New Roman" w:hAnsi="Times New Roman" w:eastAsia="宋体" w:cs="Times New Roman"/>
          <w:szCs w:val="21"/>
        </w:rPr>
        <w:t>一元弱酸、弱碱一步电离。</w:t>
      </w:r>
    </w:p>
    <w:p w14:paraId="3F18BF36">
      <w:pPr>
        <w:spacing w:line="420" w:lineRule="exact"/>
        <w:rPr>
          <w:rFonts w:ascii="Times New Roman" w:hAnsi="Times New Roman" w:eastAsia="宋体" w:cs="Times New Roman"/>
          <w:szCs w:val="21"/>
        </w:rPr>
      </w:pPr>
      <w:r>
        <w:pict>
          <v:line id="直接连接符 20" o:spid="_x0000_s2051" o:spt="20" style="position:absolute;left:0pt;flip:y;margin-left:209.95pt;margin-top:16.8pt;height:0.9pt;width:74pt;z-index:251660288;mso-width-relative:page;mso-height-relative:page;" coordsize="21600,21600">
            <v:path arrowok="t"/>
            <v:fill focussize="0,0"/>
            <v:stroke weight="1pt" joinstyle="miter"/>
            <v:imagedata o:title=""/>
            <o:lock v:ext="edit"/>
          </v:line>
        </w:pict>
      </w:r>
      <w:r>
        <w:rPr>
          <w:rFonts w:ascii="Times New Roman" w:hAnsi="Times New Roman" w:eastAsia="宋体" w:cs="Times New Roman"/>
          <w:szCs w:val="21"/>
        </w:rPr>
        <w:t>如CH</w:t>
      </w:r>
      <w:r>
        <w:rPr>
          <w:rFonts w:ascii="Times New Roman" w:hAnsi="Times New Roman" w:eastAsia="宋体" w:cs="Times New Roman"/>
          <w:szCs w:val="21"/>
          <w:vertAlign w:val="subscript"/>
        </w:rPr>
        <w:t>3</w:t>
      </w:r>
      <w:r>
        <w:rPr>
          <w:rFonts w:ascii="Times New Roman" w:hAnsi="Times New Roman" w:eastAsia="宋体" w:cs="Times New Roman"/>
          <w:szCs w:val="21"/>
        </w:rPr>
        <w:t>COOH</w:t>
      </w:r>
      <w:r>
        <w:rPr>
          <w:rFonts w:ascii="Times New Roman" w:hAnsi="Times New Roman" w:eastAsia="宋体" w:cs="Times New Roman"/>
          <w:szCs w:val="21"/>
        </w:rPr>
        <w:drawing>
          <wp:inline distT="0" distB="0" distL="0" distR="0">
            <wp:extent cx="219075" cy="124460"/>
            <wp:effectExtent l="0" t="0" r="9525" b="8890"/>
            <wp:docPr id="1134" name="图片 1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4" name="图片 1134"/>
                    <pic:cNvPicPr>
                      <a:picLocks noChangeAspect="1"/>
                    </pic:cNvPicPr>
                  </pic:nvPicPr>
                  <pic:blipFill>
                    <a:blip r:embed="rId6"/>
                    <a:stretch>
                      <a:fillRect/>
                    </a:stretch>
                  </pic:blipFill>
                  <pic:spPr>
                    <a:xfrm>
                      <a:off x="0" y="0"/>
                      <a:ext cx="219600" cy="124920"/>
                    </a:xfrm>
                    <a:prstGeom prst="rect">
                      <a:avLst/>
                    </a:prstGeom>
                  </pic:spPr>
                </pic:pic>
              </a:graphicData>
            </a:graphic>
          </wp:inline>
        </w:drawing>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 NH</w:t>
      </w:r>
      <w:r>
        <w:rPr>
          <w:rFonts w:ascii="Times New Roman" w:hAnsi="Times New Roman" w:eastAsia="宋体" w:cs="Times New Roman"/>
          <w:szCs w:val="21"/>
          <w:vertAlign w:val="subscript"/>
        </w:rPr>
        <w:t>3</w:t>
      </w:r>
      <w:r>
        <w:rPr>
          <w:rFonts w:ascii="Times New Roman" w:hAnsi="Times New Roman" w:eastAsia="宋体" w:cs="Times New Roman"/>
          <w:szCs w:val="21"/>
        </w:rPr>
        <w:t>·H</w:t>
      </w:r>
      <w:r>
        <w:rPr>
          <w:rFonts w:ascii="Times New Roman" w:hAnsi="Times New Roman" w:eastAsia="宋体" w:cs="Times New Roman"/>
          <w:szCs w:val="21"/>
          <w:vertAlign w:val="subscript"/>
        </w:rPr>
        <w:t>2</w:t>
      </w:r>
      <w:r>
        <w:rPr>
          <w:rFonts w:ascii="Times New Roman" w:hAnsi="Times New Roman" w:eastAsia="宋体" w:cs="Times New Roman"/>
          <w:szCs w:val="21"/>
        </w:rPr>
        <w:t>O</w:t>
      </w:r>
      <w:r>
        <w:rPr>
          <w:rFonts w:ascii="Times New Roman" w:hAnsi="Times New Roman" w:eastAsia="宋体" w:cs="Times New Roman"/>
          <w:szCs w:val="21"/>
        </w:rPr>
        <w:drawing>
          <wp:inline distT="0" distB="0" distL="0" distR="0">
            <wp:extent cx="219075" cy="124460"/>
            <wp:effectExtent l="0" t="0" r="9525" b="8890"/>
            <wp:docPr id="1135" name="图片 1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5" name="图片 1135"/>
                    <pic:cNvPicPr>
                      <a:picLocks noChangeAspect="1"/>
                    </pic:cNvPicPr>
                  </pic:nvPicPr>
                  <pic:blipFill>
                    <a:blip r:embed="rId6"/>
                    <a:stretch>
                      <a:fillRect/>
                    </a:stretch>
                  </pic:blipFill>
                  <pic:spPr>
                    <a:xfrm>
                      <a:off x="0" y="0"/>
                      <a:ext cx="219600" cy="124920"/>
                    </a:xfrm>
                    <a:prstGeom prst="rect">
                      <a:avLst/>
                    </a:prstGeom>
                  </pic:spPr>
                </pic:pic>
              </a:graphicData>
            </a:graphic>
          </wp:inline>
        </w:drawing>
      </w:r>
      <w:r>
        <w:rPr>
          <w:rFonts w:hint="eastAsia" w:ascii="Times New Roman" w:hAnsi="Times New Roman" w:eastAsia="宋体" w:cs="Times New Roman"/>
          <w:szCs w:val="21"/>
        </w:rPr>
        <w:t xml:space="preserve">                               </w:t>
      </w:r>
      <w:r>
        <w:rPr>
          <w:rFonts w:ascii="Times New Roman" w:hAnsi="Times New Roman" w:eastAsia="宋体" w:cs="Times New Roman"/>
          <w:szCs w:val="21"/>
        </w:rPr>
        <w:t>。 </w:t>
      </w:r>
    </w:p>
    <w:p w14:paraId="336C5A4D">
      <w:pPr>
        <w:spacing w:line="420" w:lineRule="exact"/>
        <w:rPr>
          <w:rFonts w:ascii="Times New Roman" w:hAnsi="Times New Roman" w:eastAsia="宋体" w:cs="Times New Roman"/>
          <w:szCs w:val="21"/>
        </w:rPr>
      </w:pPr>
      <w:r>
        <w:rPr>
          <w:rFonts w:ascii="Cambria Math" w:hAnsi="Cambria Math" w:eastAsia="宋体" w:cs="Cambria Math"/>
          <w:szCs w:val="21"/>
        </w:rPr>
        <w:t>②</w:t>
      </w:r>
      <w:r>
        <w:rPr>
          <w:rFonts w:ascii="Times New Roman" w:hAnsi="Times New Roman" w:eastAsia="宋体" w:cs="Times New Roman"/>
          <w:szCs w:val="21"/>
        </w:rPr>
        <w:t>多元弱酸分步电离,必须</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写出,不可合并(其中以第一步电离为主)。 </w:t>
      </w:r>
    </w:p>
    <w:p w14:paraId="5ED11416">
      <w:pPr>
        <w:spacing w:line="420" w:lineRule="exact"/>
        <w:rPr>
          <w:rFonts w:ascii="Times New Roman" w:hAnsi="Times New Roman" w:eastAsia="宋体" w:cs="Times New Roman"/>
          <w:szCs w:val="21"/>
        </w:rPr>
      </w:pPr>
      <w:r>
        <w:rPr>
          <w:rFonts w:ascii="Times New Roman" w:hAnsi="Times New Roman" w:eastAsia="宋体" w:cs="Times New Roman"/>
          <w:szCs w:val="21"/>
        </w:rPr>
        <w:t>如H</w:t>
      </w:r>
      <w:r>
        <w:rPr>
          <w:rFonts w:ascii="Times New Roman" w:hAnsi="Times New Roman" w:eastAsia="宋体" w:cs="Times New Roman"/>
          <w:szCs w:val="21"/>
          <w:vertAlign w:val="subscript"/>
        </w:rPr>
        <w:t>2</w:t>
      </w:r>
      <w:r>
        <w:rPr>
          <w:rFonts w:ascii="Times New Roman" w:hAnsi="Times New Roman" w:eastAsia="宋体" w:cs="Times New Roman"/>
          <w:szCs w:val="21"/>
        </w:rPr>
        <w:t>CO</w:t>
      </w:r>
      <w:r>
        <w:rPr>
          <w:rFonts w:ascii="Times New Roman" w:hAnsi="Times New Roman" w:eastAsia="宋体" w:cs="Times New Roman"/>
          <w:szCs w:val="21"/>
          <w:vertAlign w:val="subscript"/>
        </w:rPr>
        <w:t>3</w:t>
      </w:r>
      <w:r>
        <w:rPr>
          <w:rFonts w:ascii="Times New Roman" w:hAnsi="Times New Roman" w:eastAsia="宋体" w:cs="Times New Roman"/>
          <w:szCs w:val="21"/>
        </w:rPr>
        <w:drawing>
          <wp:inline distT="0" distB="0" distL="0" distR="0">
            <wp:extent cx="219075" cy="124460"/>
            <wp:effectExtent l="0" t="0" r="9525" b="8890"/>
            <wp:docPr id="1136" name="图片 1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6" name="图片 1136"/>
                    <pic:cNvPicPr>
                      <a:picLocks noChangeAspect="1"/>
                    </pic:cNvPicPr>
                  </pic:nvPicPr>
                  <pic:blipFill>
                    <a:blip r:embed="rId6"/>
                    <a:stretch>
                      <a:fillRect/>
                    </a:stretch>
                  </pic:blipFill>
                  <pic:spPr>
                    <a:xfrm>
                      <a:off x="0" y="0"/>
                      <a:ext cx="219600" cy="124920"/>
                    </a:xfrm>
                    <a:prstGeom prst="rect">
                      <a:avLst/>
                    </a:prstGeom>
                  </pic:spPr>
                </pic:pic>
              </a:graphicData>
            </a:graphic>
          </wp:inline>
        </w:drawing>
      </w:r>
      <w:r>
        <w:rPr>
          <w:rFonts w:ascii="Times New Roman" w:hAnsi="Times New Roman" w:eastAsia="宋体" w:cs="Times New Roman"/>
          <w:szCs w:val="21"/>
        </w:rPr>
        <w:t>H</w:t>
      </w:r>
      <w:r>
        <w:rPr>
          <w:rFonts w:ascii="Times New Roman" w:hAnsi="Times New Roman" w:eastAsia="宋体" w:cs="Times New Roman"/>
          <w:szCs w:val="21"/>
          <w:vertAlign w:val="superscript"/>
        </w:rPr>
        <w:t>+</w:t>
      </w:r>
      <w:r>
        <w:rPr>
          <w:rFonts w:ascii="Times New Roman" w:hAnsi="Times New Roman" w:eastAsia="宋体" w:cs="Times New Roman"/>
          <w:szCs w:val="21"/>
        </w:rPr>
        <w:t>+HC</w:t>
      </w:r>
      <m:oMath>
        <m:sSubSup>
          <m:sSubSupPr>
            <m:ctrlPr>
              <w:rPr>
                <w:rFonts w:ascii="Cambria Math" w:hAnsi="Cambria Math" w:eastAsia="宋体" w:cs="Times New Roman"/>
                <w:szCs w:val="21"/>
              </w:rPr>
            </m:ctrlPr>
          </m:sSubSupPr>
          <m:e>
            <m:r>
              <m:rPr>
                <m:sty m:val="p"/>
              </m:rPr>
              <w:rPr>
                <w:rFonts w:ascii="Cambria Math" w:hAnsi="Cambria Math" w:eastAsia="宋体" w:cs="Times New Roman"/>
                <w:szCs w:val="21"/>
              </w:rPr>
              <m:t>O</m:t>
            </m:r>
            <m:ctrlPr>
              <w:rPr>
                <w:rFonts w:ascii="Cambria Math" w:hAnsi="Cambria Math" w:eastAsia="宋体" w:cs="Times New Roman"/>
                <w:szCs w:val="21"/>
              </w:rPr>
            </m:ctrlPr>
          </m:e>
          <m:sub>
            <m:r>
              <m:rPr>
                <m:sty m:val="p"/>
              </m:rPr>
              <w:rPr>
                <w:rFonts w:ascii="Cambria Math" w:hAnsi="Cambria Math" w:eastAsia="宋体" w:cs="Times New Roman"/>
                <w:szCs w:val="21"/>
              </w:rPr>
              <m:t>3</m:t>
            </m:r>
            <m:ctrlPr>
              <w:rPr>
                <w:rFonts w:ascii="Cambria Math" w:hAnsi="Cambria Math" w:eastAsia="宋体" w:cs="Times New Roman"/>
                <w:szCs w:val="21"/>
              </w:rPr>
            </m:ctrlPr>
          </m:sub>
          <m:sup>
            <m:r>
              <m:rPr>
                <m:nor/>
                <m:sty m:val="p"/>
              </m:rPr>
              <w:rPr>
                <w:rFonts w:ascii="Cambria Math" w:hAnsi="Cambria Math" w:eastAsia="宋体" w:cs="Times New Roman"/>
                <w:b w:val="0"/>
                <w:i w:val="0"/>
                <w:szCs w:val="21"/>
              </w:rPr>
              <m:t>-</m:t>
            </m:r>
            <m:ctrlPr>
              <w:rPr>
                <w:rFonts w:ascii="Cambria Math" w:hAnsi="Cambria Math" w:eastAsia="宋体" w:cs="Times New Roman"/>
                <w:szCs w:val="21"/>
              </w:rPr>
            </m:ctrlPr>
          </m:sup>
        </m:sSubSup>
      </m:oMath>
      <w:r>
        <w:rPr>
          <w:rFonts w:ascii="Times New Roman" w:hAnsi="Times New Roman" w:eastAsia="宋体" w:cs="Times New Roman"/>
          <w:szCs w:val="21"/>
        </w:rPr>
        <w:t>(主),HC</w:t>
      </w:r>
      <m:oMath>
        <m:sSubSup>
          <m:sSubSupPr>
            <m:ctrlPr>
              <w:rPr>
                <w:rFonts w:ascii="Cambria Math" w:hAnsi="Cambria Math" w:eastAsia="宋体" w:cs="Times New Roman"/>
                <w:szCs w:val="21"/>
              </w:rPr>
            </m:ctrlPr>
          </m:sSubSupPr>
          <m:e>
            <m:r>
              <m:rPr>
                <m:sty m:val="p"/>
              </m:rPr>
              <w:rPr>
                <w:rFonts w:ascii="Cambria Math" w:hAnsi="Cambria Math" w:eastAsia="宋体" w:cs="Times New Roman"/>
                <w:szCs w:val="21"/>
              </w:rPr>
              <m:t>O</m:t>
            </m:r>
            <m:ctrlPr>
              <w:rPr>
                <w:rFonts w:ascii="Cambria Math" w:hAnsi="Cambria Math" w:eastAsia="宋体" w:cs="Times New Roman"/>
                <w:szCs w:val="21"/>
              </w:rPr>
            </m:ctrlPr>
          </m:e>
          <m:sub>
            <m:r>
              <m:rPr>
                <m:sty m:val="p"/>
              </m:rPr>
              <w:rPr>
                <w:rFonts w:ascii="Cambria Math" w:hAnsi="Cambria Math" w:eastAsia="宋体" w:cs="Times New Roman"/>
                <w:szCs w:val="21"/>
              </w:rPr>
              <m:t>3</m:t>
            </m:r>
            <m:ctrlPr>
              <w:rPr>
                <w:rFonts w:ascii="Cambria Math" w:hAnsi="Cambria Math" w:eastAsia="宋体" w:cs="Times New Roman"/>
                <w:szCs w:val="21"/>
              </w:rPr>
            </m:ctrlPr>
          </m:sub>
          <m:sup>
            <m:r>
              <m:rPr>
                <m:nor/>
                <m:sty m:val="p"/>
              </m:rPr>
              <w:rPr>
                <w:rFonts w:ascii="Cambria Math" w:hAnsi="Cambria Math" w:eastAsia="宋体" w:cs="Times New Roman"/>
                <w:b w:val="0"/>
                <w:i w:val="0"/>
                <w:szCs w:val="21"/>
              </w:rPr>
              <m:t>-</m:t>
            </m:r>
            <m:ctrlPr>
              <w:rPr>
                <w:rFonts w:ascii="Cambria Math" w:hAnsi="Cambria Math" w:eastAsia="宋体" w:cs="Times New Roman"/>
                <w:szCs w:val="21"/>
              </w:rPr>
            </m:ctrlPr>
          </m:sup>
        </m:sSubSup>
      </m:oMath>
      <w:r>
        <w:rPr>
          <w:rFonts w:ascii="Times New Roman" w:hAnsi="Times New Roman" w:eastAsia="宋体" w:cs="Times New Roman"/>
          <w:szCs w:val="21"/>
        </w:rPr>
        <w:drawing>
          <wp:inline distT="0" distB="0" distL="0" distR="0">
            <wp:extent cx="219075" cy="124460"/>
            <wp:effectExtent l="0" t="0" r="9525" b="8890"/>
            <wp:docPr id="1137" name="图片 1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7" name="图片 1137"/>
                    <pic:cNvPicPr>
                      <a:picLocks noChangeAspect="1"/>
                    </pic:cNvPicPr>
                  </pic:nvPicPr>
                  <pic:blipFill>
                    <a:blip r:embed="rId6"/>
                    <a:stretch>
                      <a:fillRect/>
                    </a:stretch>
                  </pic:blipFill>
                  <pic:spPr>
                    <a:xfrm>
                      <a:off x="0" y="0"/>
                      <a:ext cx="219600" cy="124920"/>
                    </a:xfrm>
                    <a:prstGeom prst="rect">
                      <a:avLst/>
                    </a:prstGeom>
                  </pic:spPr>
                </pic:pic>
              </a:graphicData>
            </a:graphic>
          </wp:inline>
        </w:drawing>
      </w:r>
      <w:r>
        <w:rPr>
          <w:rFonts w:ascii="Times New Roman" w:hAnsi="Times New Roman" w:eastAsia="宋体" w:cs="Times New Roman"/>
          <w:szCs w:val="21"/>
        </w:rPr>
        <w:t>H</w:t>
      </w:r>
      <w:r>
        <w:rPr>
          <w:rFonts w:ascii="Times New Roman" w:hAnsi="Times New Roman" w:eastAsia="宋体" w:cs="Times New Roman"/>
          <w:szCs w:val="21"/>
          <w:vertAlign w:val="superscript"/>
        </w:rPr>
        <w:t>+</w:t>
      </w:r>
      <w:r>
        <w:rPr>
          <w:rFonts w:ascii="Times New Roman" w:hAnsi="Times New Roman" w:eastAsia="宋体" w:cs="Times New Roman"/>
          <w:szCs w:val="21"/>
        </w:rPr>
        <w:t>+C</w:t>
      </w:r>
      <m:oMath>
        <m:sSubSup>
          <m:sSubSupPr>
            <m:ctrlPr>
              <w:rPr>
                <w:rFonts w:ascii="Cambria Math" w:hAnsi="Cambria Math" w:eastAsia="宋体" w:cs="Times New Roman"/>
                <w:szCs w:val="21"/>
              </w:rPr>
            </m:ctrlPr>
          </m:sSubSupPr>
          <m:e>
            <m:r>
              <m:rPr>
                <m:sty m:val="p"/>
              </m:rPr>
              <w:rPr>
                <w:rFonts w:ascii="Cambria Math" w:hAnsi="Cambria Math" w:eastAsia="宋体" w:cs="Times New Roman"/>
                <w:szCs w:val="21"/>
              </w:rPr>
              <m:t>O</m:t>
            </m:r>
            <m:ctrlPr>
              <w:rPr>
                <w:rFonts w:ascii="Cambria Math" w:hAnsi="Cambria Math" w:eastAsia="宋体" w:cs="Times New Roman"/>
                <w:szCs w:val="21"/>
              </w:rPr>
            </m:ctrlPr>
          </m:e>
          <m:sub>
            <m:r>
              <m:rPr>
                <m:sty m:val="p"/>
              </m:rPr>
              <w:rPr>
                <w:rFonts w:ascii="Cambria Math" w:hAnsi="Cambria Math" w:eastAsia="宋体" w:cs="Times New Roman"/>
                <w:szCs w:val="21"/>
              </w:rPr>
              <m:t>3</m:t>
            </m:r>
            <m:ctrlPr>
              <w:rPr>
                <w:rFonts w:ascii="Cambria Math" w:hAnsi="Cambria Math" w:eastAsia="宋体" w:cs="Times New Roman"/>
                <w:szCs w:val="21"/>
              </w:rPr>
            </m:ctrlPr>
          </m:sub>
          <m:sup>
            <m:r>
              <m:rPr>
                <m:sty m:val="p"/>
              </m:rPr>
              <w:rPr>
                <w:rFonts w:ascii="Cambria Math" w:hAnsi="Cambria Math" w:eastAsia="宋体" w:cs="Times New Roman"/>
                <w:szCs w:val="21"/>
              </w:rPr>
              <m:t>2−</m:t>
            </m:r>
            <m:ctrlPr>
              <w:rPr>
                <w:rFonts w:ascii="Cambria Math" w:hAnsi="Cambria Math" w:eastAsia="宋体" w:cs="Times New Roman"/>
                <w:szCs w:val="21"/>
              </w:rPr>
            </m:ctrlPr>
          </m:sup>
        </m:sSubSup>
      </m:oMath>
      <w:r>
        <w:rPr>
          <w:rFonts w:ascii="Times New Roman" w:hAnsi="Times New Roman" w:eastAsia="宋体" w:cs="Times New Roman"/>
          <w:szCs w:val="21"/>
        </w:rPr>
        <w:t>(次)。</w:t>
      </w:r>
    </w:p>
    <w:p w14:paraId="15FC8136">
      <w:pPr>
        <w:spacing w:line="420" w:lineRule="exact"/>
        <w:rPr>
          <w:rFonts w:ascii="Times New Roman" w:hAnsi="Times New Roman" w:eastAsia="宋体" w:cs="Times New Roman"/>
          <w:szCs w:val="21"/>
        </w:rPr>
      </w:pPr>
      <w:r>
        <w:rPr>
          <w:rFonts w:ascii="Cambria Math" w:hAnsi="Cambria Math" w:eastAsia="宋体" w:cs="Cambria Math"/>
          <w:szCs w:val="21"/>
        </w:rPr>
        <w:t>③</w:t>
      </w:r>
      <w:r>
        <w:rPr>
          <w:rFonts w:ascii="Times New Roman" w:hAnsi="Times New Roman" w:eastAsia="宋体" w:cs="Times New Roman"/>
          <w:szCs w:val="21"/>
        </w:rPr>
        <w:t>多元弱碱分步电离 (较复杂),在中学阶段要求一步写出。</w:t>
      </w:r>
    </w:p>
    <w:p w14:paraId="12F5B9B4">
      <w:pPr>
        <w:spacing w:line="420" w:lineRule="exact"/>
        <w:rPr>
          <w:rFonts w:ascii="Times New Roman" w:hAnsi="Times New Roman" w:eastAsia="宋体" w:cs="Times New Roman"/>
          <w:szCs w:val="21"/>
        </w:rPr>
      </w:pPr>
      <w:r>
        <w:rPr>
          <w:rFonts w:ascii="Times New Roman" w:hAnsi="Times New Roman" w:eastAsia="宋体" w:cs="Times New Roman"/>
          <w:szCs w:val="21"/>
        </w:rPr>
        <w:t>如Fe(OH)</w:t>
      </w:r>
      <w:r>
        <w:rPr>
          <w:rFonts w:ascii="Times New Roman" w:hAnsi="Times New Roman" w:eastAsia="宋体" w:cs="Times New Roman"/>
          <w:szCs w:val="21"/>
          <w:vertAlign w:val="subscript"/>
        </w:rPr>
        <w:t>3</w:t>
      </w:r>
      <w:r>
        <w:rPr>
          <w:rFonts w:ascii="Times New Roman" w:hAnsi="Times New Roman" w:eastAsia="宋体" w:cs="Times New Roman"/>
          <w:szCs w:val="21"/>
        </w:rPr>
        <w:drawing>
          <wp:inline distT="0" distB="0" distL="0" distR="0">
            <wp:extent cx="219075" cy="124460"/>
            <wp:effectExtent l="0" t="0" r="9525" b="8890"/>
            <wp:docPr id="1138" name="图片 1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8" name="图片 1138"/>
                    <pic:cNvPicPr>
                      <a:picLocks noChangeAspect="1"/>
                    </pic:cNvPicPr>
                  </pic:nvPicPr>
                  <pic:blipFill>
                    <a:blip r:embed="rId6"/>
                    <a:stretch>
                      <a:fillRect/>
                    </a:stretch>
                  </pic:blipFill>
                  <pic:spPr>
                    <a:xfrm>
                      <a:off x="0" y="0"/>
                      <a:ext cx="219600" cy="124920"/>
                    </a:xfrm>
                    <a:prstGeom prst="rect">
                      <a:avLst/>
                    </a:prstGeom>
                  </pic:spPr>
                </pic:pic>
              </a:graphicData>
            </a:graphic>
          </wp:inline>
        </w:drawing>
      </w:r>
      <w:r>
        <w:rPr>
          <w:rFonts w:hint="eastAsia" w:ascii="Times New Roman" w:hAnsi="Times New Roman" w:eastAsia="宋体" w:cs="Times New Roman"/>
          <w:szCs w:val="21"/>
          <w:u w:val="thick"/>
        </w:rPr>
        <w:t xml:space="preserve">                        </w:t>
      </w:r>
      <w:r>
        <w:rPr>
          <w:rFonts w:ascii="Times New Roman" w:hAnsi="Times New Roman" w:eastAsia="宋体" w:cs="Times New Roman"/>
          <w:szCs w:val="21"/>
          <w:u w:val="thick"/>
          <w:vertAlign w:val="superscript"/>
        </w:rPr>
        <w:t>-</w:t>
      </w:r>
      <w:r>
        <w:rPr>
          <w:rFonts w:ascii="Times New Roman" w:hAnsi="Times New Roman" w:eastAsia="宋体" w:cs="Times New Roman"/>
          <w:szCs w:val="21"/>
        </w:rPr>
        <w:t>。 </w:t>
      </w:r>
    </w:p>
    <w:p w14:paraId="77E1F3FF">
      <w:pPr>
        <w:spacing w:line="420" w:lineRule="exact"/>
        <w:rPr>
          <w:rFonts w:ascii="Times New Roman" w:hAnsi="Times New Roman" w:eastAsia="宋体" w:cs="Times New Roman"/>
          <w:b/>
          <w:bCs/>
          <w:szCs w:val="21"/>
        </w:rPr>
      </w:pPr>
      <w:r>
        <w:rPr>
          <w:rFonts w:ascii="Times New Roman" w:hAnsi="Times New Roman" w:eastAsia="宋体" w:cs="Times New Roman"/>
          <w:b/>
          <w:bCs/>
          <w:szCs w:val="21"/>
        </w:rPr>
        <w:t>二、弱电解质的电离平衡</w:t>
      </w:r>
    </w:p>
    <w:p w14:paraId="325A7406">
      <w:pPr>
        <w:rPr>
          <w:rFonts w:ascii="Times New Roman" w:hAnsi="Times New Roman" w:eastAsia="宋体" w:cs="Times New Roman"/>
          <w:szCs w:val="21"/>
        </w:rPr>
      </w:pPr>
      <w:r>
        <w:rPr>
          <w:rFonts w:ascii="Times New Roman" w:hAnsi="Times New Roman" w:eastAsia="宋体" w:cs="Times New Roman"/>
          <w:szCs w:val="21"/>
        </w:rPr>
        <w:t>1.电离平衡状态</w:t>
      </w:r>
    </w:p>
    <w:p w14:paraId="5321E3B8">
      <w:pPr>
        <w:rPr>
          <w:rFonts w:ascii="Times New Roman" w:hAnsi="Times New Roman" w:eastAsia="宋体" w:cs="Times New Roman"/>
          <w:szCs w:val="21"/>
        </w:rPr>
      </w:pPr>
      <w:r>
        <w:rPr>
          <w:rFonts w:ascii="Times New Roman" w:hAnsi="Times New Roman" w:eastAsia="宋体" w:cs="Times New Roman"/>
          <w:szCs w:val="21"/>
        </w:rPr>
        <w:t>(1)概念:在一定条件(如温度、浓度)下,弱电解质分子电离成离子的速率与离子结合成弱电解质分子的速率相等,溶液中各分子和离子的浓度都不再发生变化,电离过程就达到了电离平衡状态。 </w:t>
      </w:r>
    </w:p>
    <w:p w14:paraId="5629E601">
      <w:pPr>
        <w:rPr>
          <w:rFonts w:ascii="Times New Roman" w:hAnsi="Times New Roman" w:eastAsia="宋体" w:cs="Times New Roman"/>
          <w:szCs w:val="21"/>
        </w:rPr>
      </w:pPr>
      <w:r>
        <w:rPr>
          <w:rFonts w:ascii="Times New Roman" w:hAnsi="Times New Roman" w:eastAsia="宋体" w:cs="Times New Roman"/>
          <w:szCs w:val="21"/>
        </w:rPr>
        <w:t>(</w:t>
      </w:r>
      <w:r>
        <w:rPr>
          <w:rFonts w:hint="eastAsia" w:ascii="Times New Roman" w:hAnsi="Times New Roman" w:eastAsia="宋体" w:cs="Times New Roman"/>
          <w:szCs w:val="21"/>
        </w:rPr>
        <w:t>2</w:t>
      </w:r>
      <w:r>
        <w:rPr>
          <w:rFonts w:ascii="Times New Roman" w:hAnsi="Times New Roman" w:eastAsia="宋体" w:cs="Times New Roman"/>
          <w:szCs w:val="21"/>
        </w:rPr>
        <w:t>)电离平衡的特征</w:t>
      </w:r>
    </w:p>
    <w:p w14:paraId="20699E3D">
      <w:pPr>
        <w:rPr>
          <w:rFonts w:ascii="Times New Roman" w:hAnsi="Times New Roman" w:eastAsia="宋体" w:cs="Times New Roman"/>
          <w:szCs w:val="21"/>
          <w:u w:val="thick"/>
        </w:rPr>
      </w:pPr>
      <w:r>
        <w:rPr>
          <w:rFonts w:ascii="Times New Roman" w:hAnsi="Times New Roman" w:eastAsia="宋体" w:cs="Times New Roman"/>
          <w:szCs w:val="21"/>
        </w:rPr>
        <w:t>弱：研究对象为</w:t>
      </w:r>
      <w:r>
        <w:rPr>
          <w:rFonts w:hint="eastAsia" w:ascii="Times New Roman" w:hAnsi="Times New Roman" w:eastAsia="宋体" w:cs="Times New Roman"/>
          <w:szCs w:val="21"/>
          <w:u w:val="thick"/>
        </w:rPr>
        <w:t xml:space="preserve">      ___________</w:t>
      </w:r>
    </w:p>
    <w:p w14:paraId="0EE856E4">
      <w:pPr>
        <w:rPr>
          <w:rFonts w:ascii="Times New Roman" w:hAnsi="Times New Roman" w:eastAsia="宋体" w:cs="Times New Roman"/>
          <w:szCs w:val="21"/>
          <w:u w:val="thick"/>
        </w:rPr>
      </w:pPr>
      <w:r>
        <w:rPr>
          <w:rFonts w:ascii="Times New Roman" w:hAnsi="Times New Roman" w:eastAsia="宋体" w:cs="Times New Roman"/>
          <w:szCs w:val="21"/>
        </w:rPr>
        <w:t>等：弱电解质分子电离成离子的速率和离子重新结合成分子的速率</w:t>
      </w:r>
      <w:r>
        <w:rPr>
          <w:rFonts w:hint="eastAsia" w:ascii="Times New Roman" w:hAnsi="Times New Roman" w:eastAsia="宋体" w:cs="Times New Roman"/>
          <w:szCs w:val="21"/>
          <w:u w:val="thick"/>
        </w:rPr>
        <w:t xml:space="preserve">  ______</w:t>
      </w:r>
    </w:p>
    <w:p w14:paraId="025A1C4F">
      <w:pPr>
        <w:rPr>
          <w:rFonts w:ascii="Times New Roman" w:hAnsi="Times New Roman" w:eastAsia="宋体" w:cs="Times New Roman"/>
          <w:szCs w:val="21"/>
        </w:rPr>
      </w:pPr>
      <w:r>
        <w:rPr>
          <w:rFonts w:ascii="Times New Roman" w:hAnsi="Times New Roman" w:eastAsia="宋体" w:cs="Times New Roman"/>
          <w:szCs w:val="21"/>
        </w:rPr>
        <w:t>动：电离平衡和化学平衡一样是动态的</w:t>
      </w:r>
    </w:p>
    <w:p w14:paraId="55FCAE02">
      <w:pPr>
        <w:rPr>
          <w:rFonts w:ascii="Times New Roman" w:hAnsi="Times New Roman" w:eastAsia="宋体" w:cs="Times New Roman"/>
          <w:szCs w:val="21"/>
          <w:u w:val="thick"/>
        </w:rPr>
      </w:pPr>
      <w:r>
        <w:rPr>
          <w:rFonts w:ascii="Times New Roman" w:hAnsi="Times New Roman" w:eastAsia="宋体" w:cs="Times New Roman"/>
          <w:szCs w:val="21"/>
        </w:rPr>
        <w:t>定：达到平衡时，溶液中离子浓度和分子浓度都保持</w:t>
      </w:r>
      <w:r>
        <w:rPr>
          <w:rFonts w:hint="eastAsia" w:ascii="Times New Roman" w:hAnsi="Times New Roman" w:eastAsia="宋体" w:cs="Times New Roman"/>
          <w:szCs w:val="21"/>
          <w:u w:val="thick"/>
        </w:rPr>
        <w:t>___________</w:t>
      </w:r>
    </w:p>
    <w:p w14:paraId="59AC5C1E">
      <w:pPr>
        <w:rPr>
          <w:rFonts w:ascii="Times New Roman" w:hAnsi="Times New Roman" w:eastAsia="宋体" w:cs="Times New Roman"/>
          <w:szCs w:val="21"/>
        </w:rPr>
      </w:pPr>
      <w:r>
        <w:rPr>
          <w:rFonts w:ascii="Times New Roman" w:hAnsi="Times New Roman" w:eastAsia="宋体" w:cs="Times New Roman"/>
          <w:szCs w:val="21"/>
        </w:rPr>
        <w:t>变：条件改变，电离平衡发生移动，各粒子的浓度要发生改变</w:t>
      </w:r>
    </w:p>
    <w:p w14:paraId="4456D020">
      <w:pPr>
        <w:rPr>
          <w:rFonts w:ascii="Times New Roman" w:hAnsi="Times New Roman" w:eastAsia="宋体" w:cs="Times New Roman"/>
          <w:szCs w:val="21"/>
        </w:rPr>
      </w:pPr>
      <w:r>
        <w:rPr>
          <w:rFonts w:ascii="Times New Roman" w:hAnsi="Times New Roman" w:eastAsia="宋体" w:cs="Times New Roman"/>
          <w:szCs w:val="21"/>
        </w:rPr>
        <w:t>2.电离平衡的影响因素</w:t>
      </w:r>
    </w:p>
    <w:tbl>
      <w:tblPr>
        <w:tblStyle w:val="15"/>
        <w:tblW w:w="4605" w:type="pct"/>
        <w:jc w:val="center"/>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
      <w:tblGrid>
        <w:gridCol w:w="826"/>
        <w:gridCol w:w="6923"/>
      </w:tblGrid>
      <w:tr w14:paraId="6EA95A1C">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533" w:type="pct"/>
            <w:tcMar>
              <w:left w:w="0" w:type="dxa"/>
              <w:right w:w="0" w:type="dxa"/>
            </w:tcMar>
            <w:vAlign w:val="center"/>
          </w:tcPr>
          <w:p w14:paraId="517B44AC">
            <w:pPr>
              <w:spacing w:line="420" w:lineRule="exact"/>
              <w:jc w:val="center"/>
              <w:rPr>
                <w:rFonts w:ascii="Times New Roman" w:hAnsi="Times New Roman" w:eastAsia="宋体" w:cs="Times New Roman"/>
                <w:szCs w:val="21"/>
              </w:rPr>
            </w:pPr>
            <w:r>
              <w:rPr>
                <w:rFonts w:ascii="Times New Roman" w:hAnsi="Times New Roman" w:eastAsia="宋体" w:cs="Times New Roman"/>
                <w:szCs w:val="21"/>
              </w:rPr>
              <w:t>因素</w:t>
            </w:r>
          </w:p>
        </w:tc>
        <w:tc>
          <w:tcPr>
            <w:tcW w:w="4467" w:type="pct"/>
            <w:tcMar>
              <w:left w:w="105" w:type="dxa"/>
              <w:right w:w="105" w:type="dxa"/>
            </w:tcMar>
            <w:vAlign w:val="center"/>
          </w:tcPr>
          <w:p w14:paraId="01066DA7">
            <w:pPr>
              <w:spacing w:line="420" w:lineRule="exact"/>
              <w:jc w:val="center"/>
              <w:rPr>
                <w:rFonts w:ascii="Times New Roman" w:hAnsi="Times New Roman" w:eastAsia="宋体" w:cs="Times New Roman"/>
                <w:szCs w:val="21"/>
              </w:rPr>
            </w:pPr>
            <w:r>
              <w:rPr>
                <w:rFonts w:ascii="Times New Roman" w:hAnsi="Times New Roman" w:eastAsia="宋体" w:cs="Times New Roman"/>
                <w:szCs w:val="21"/>
              </w:rPr>
              <w:t>影响结果</w:t>
            </w:r>
          </w:p>
        </w:tc>
      </w:tr>
      <w:tr w14:paraId="40667236">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533" w:type="pct"/>
            <w:tcMar>
              <w:left w:w="0" w:type="dxa"/>
              <w:right w:w="0" w:type="dxa"/>
            </w:tcMar>
            <w:vAlign w:val="center"/>
          </w:tcPr>
          <w:p w14:paraId="71F2D816">
            <w:pPr>
              <w:spacing w:line="420" w:lineRule="exact"/>
              <w:jc w:val="center"/>
              <w:rPr>
                <w:rFonts w:ascii="Times New Roman" w:hAnsi="Times New Roman" w:eastAsia="宋体" w:cs="Times New Roman"/>
                <w:szCs w:val="21"/>
              </w:rPr>
            </w:pPr>
            <w:r>
              <w:rPr>
                <w:rFonts w:ascii="Times New Roman" w:hAnsi="Times New Roman" w:eastAsia="宋体" w:cs="Times New Roman"/>
                <w:szCs w:val="21"/>
              </w:rPr>
              <w:t>温度</w:t>
            </w:r>
          </w:p>
        </w:tc>
        <w:tc>
          <w:tcPr>
            <w:tcW w:w="4467" w:type="pct"/>
            <w:tcMar>
              <w:left w:w="105" w:type="dxa"/>
              <w:right w:w="105" w:type="dxa"/>
            </w:tcMar>
            <w:vAlign w:val="center"/>
          </w:tcPr>
          <w:p w14:paraId="0C58A960">
            <w:pPr>
              <w:spacing w:line="420" w:lineRule="exact"/>
              <w:jc w:val="center"/>
              <w:rPr>
                <w:rFonts w:ascii="Times New Roman" w:hAnsi="Times New Roman" w:eastAsia="宋体" w:cs="Times New Roman"/>
                <w:szCs w:val="21"/>
              </w:rPr>
            </w:pPr>
            <w:r>
              <w:rPr>
                <w:rFonts w:ascii="Times New Roman" w:hAnsi="Times New Roman" w:eastAsia="宋体" w:cs="Times New Roman"/>
                <w:szCs w:val="21"/>
              </w:rPr>
              <w:t>升高温度,电离平衡</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移动 </w:t>
            </w:r>
          </w:p>
        </w:tc>
      </w:tr>
      <w:tr w14:paraId="795BBB9E">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533" w:type="pct"/>
            <w:tcMar>
              <w:left w:w="0" w:type="dxa"/>
              <w:right w:w="0" w:type="dxa"/>
            </w:tcMar>
            <w:vAlign w:val="center"/>
          </w:tcPr>
          <w:p w14:paraId="35384D25">
            <w:pPr>
              <w:spacing w:line="420" w:lineRule="exact"/>
              <w:jc w:val="center"/>
              <w:rPr>
                <w:rFonts w:ascii="Times New Roman" w:hAnsi="Times New Roman" w:eastAsia="宋体" w:cs="Times New Roman"/>
                <w:szCs w:val="21"/>
              </w:rPr>
            </w:pPr>
            <w:r>
              <w:rPr>
                <w:rFonts w:ascii="Times New Roman" w:hAnsi="Times New Roman" w:eastAsia="宋体" w:cs="Times New Roman"/>
                <w:szCs w:val="21"/>
              </w:rPr>
              <w:t>浓度</w:t>
            </w:r>
          </w:p>
        </w:tc>
        <w:tc>
          <w:tcPr>
            <w:tcW w:w="4467" w:type="pct"/>
            <w:tcMar>
              <w:left w:w="105" w:type="dxa"/>
              <w:right w:w="105" w:type="dxa"/>
            </w:tcMar>
            <w:vAlign w:val="center"/>
          </w:tcPr>
          <w:p w14:paraId="4BF461E0">
            <w:pPr>
              <w:spacing w:line="420" w:lineRule="exact"/>
              <w:jc w:val="center"/>
              <w:rPr>
                <w:rFonts w:ascii="Times New Roman" w:hAnsi="Times New Roman" w:eastAsia="宋体" w:cs="Times New Roman"/>
                <w:szCs w:val="21"/>
              </w:rPr>
            </w:pPr>
            <w:r>
              <w:rPr>
                <w:rFonts w:ascii="Times New Roman" w:hAnsi="Times New Roman" w:eastAsia="宋体" w:cs="Times New Roman"/>
                <w:szCs w:val="21"/>
              </w:rPr>
              <w:t>加水稀释,电离平衡</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移动 </w:t>
            </w:r>
          </w:p>
        </w:tc>
      </w:tr>
      <w:tr w14:paraId="02371311">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533" w:type="pct"/>
            <w:vMerge w:val="restart"/>
            <w:tcMar>
              <w:left w:w="0" w:type="dxa"/>
              <w:right w:w="0" w:type="dxa"/>
            </w:tcMar>
            <w:vAlign w:val="center"/>
          </w:tcPr>
          <w:p w14:paraId="4F399628">
            <w:pPr>
              <w:spacing w:line="420" w:lineRule="exact"/>
              <w:jc w:val="center"/>
              <w:rPr>
                <w:rFonts w:ascii="Times New Roman" w:hAnsi="Times New Roman" w:eastAsia="宋体" w:cs="Times New Roman"/>
                <w:szCs w:val="21"/>
              </w:rPr>
            </w:pPr>
            <w:r>
              <w:rPr>
                <w:rFonts w:ascii="Times New Roman" w:hAnsi="Times New Roman" w:eastAsia="宋体" w:cs="Times New Roman"/>
                <w:szCs w:val="21"/>
              </w:rPr>
              <w:t>外加</w:t>
            </w:r>
          </w:p>
          <w:p w14:paraId="6F425CD0">
            <w:pPr>
              <w:spacing w:line="420" w:lineRule="exact"/>
              <w:jc w:val="center"/>
              <w:rPr>
                <w:rFonts w:ascii="Times New Roman" w:hAnsi="Times New Roman" w:eastAsia="宋体" w:cs="Times New Roman"/>
                <w:szCs w:val="21"/>
              </w:rPr>
            </w:pPr>
            <w:r>
              <w:rPr>
                <w:rFonts w:ascii="Times New Roman" w:hAnsi="Times New Roman" w:eastAsia="宋体" w:cs="Times New Roman"/>
                <w:szCs w:val="21"/>
              </w:rPr>
              <w:t>物质</w:t>
            </w:r>
          </w:p>
        </w:tc>
        <w:tc>
          <w:tcPr>
            <w:tcW w:w="4467" w:type="pct"/>
            <w:tcMar>
              <w:left w:w="105" w:type="dxa"/>
              <w:right w:w="105" w:type="dxa"/>
            </w:tcMar>
            <w:vAlign w:val="center"/>
          </w:tcPr>
          <w:p w14:paraId="5FEF810F">
            <w:pPr>
              <w:spacing w:line="420" w:lineRule="exact"/>
              <w:rPr>
                <w:rFonts w:ascii="Times New Roman" w:hAnsi="Times New Roman" w:eastAsia="宋体" w:cs="Times New Roman"/>
                <w:szCs w:val="21"/>
              </w:rPr>
            </w:pPr>
            <w:r>
              <w:rPr>
                <w:rFonts w:ascii="Times New Roman" w:hAnsi="Times New Roman" w:eastAsia="宋体" w:cs="Times New Roman"/>
                <w:szCs w:val="21"/>
              </w:rPr>
              <w:t>加入与弱电解质电离出的离子相同的离子,电离平衡</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移动(同离子效应) </w:t>
            </w:r>
          </w:p>
        </w:tc>
      </w:tr>
      <w:tr w14:paraId="3B203FE9">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533" w:type="pct"/>
            <w:vMerge w:val="continue"/>
            <w:tcMar>
              <w:left w:w="0" w:type="dxa"/>
              <w:right w:w="0" w:type="dxa"/>
            </w:tcMar>
            <w:vAlign w:val="center"/>
          </w:tcPr>
          <w:p w14:paraId="15E314E5">
            <w:pPr>
              <w:spacing w:line="420" w:lineRule="exact"/>
              <w:rPr>
                <w:rFonts w:ascii="Times New Roman" w:hAnsi="Times New Roman" w:eastAsia="宋体" w:cs="Times New Roman"/>
                <w:szCs w:val="21"/>
              </w:rPr>
            </w:pPr>
          </w:p>
        </w:tc>
        <w:tc>
          <w:tcPr>
            <w:tcW w:w="4467" w:type="pct"/>
            <w:tcMar>
              <w:left w:w="105" w:type="dxa"/>
              <w:right w:w="105" w:type="dxa"/>
            </w:tcMar>
            <w:vAlign w:val="center"/>
          </w:tcPr>
          <w:p w14:paraId="43A564FE">
            <w:pPr>
              <w:spacing w:line="420" w:lineRule="exact"/>
              <w:rPr>
                <w:rFonts w:ascii="Times New Roman" w:hAnsi="Times New Roman" w:eastAsia="宋体" w:cs="Times New Roman"/>
                <w:szCs w:val="21"/>
              </w:rPr>
            </w:pPr>
            <w:r>
              <w:rPr>
                <w:rFonts w:ascii="Times New Roman" w:hAnsi="Times New Roman" w:eastAsia="宋体" w:cs="Times New Roman"/>
                <w:szCs w:val="21"/>
              </w:rPr>
              <w:t>加入能与弱电解质电离出的离子反应的离子,电离平衡</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移动 </w:t>
            </w:r>
          </w:p>
        </w:tc>
      </w:tr>
    </w:tbl>
    <w:p w14:paraId="5F40AD1A">
      <w:pPr>
        <w:rPr>
          <w:rFonts w:hint="eastAsia"/>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C43018">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78C274">
    <w:pPr>
      <w:pStyle w:val="12"/>
      <w:pBdr>
        <w:bottom w:val="single" w:color="auto" w:sz="4" w:space="1"/>
      </w:pBdr>
      <w:jc w:val="right"/>
      <w:rPr>
        <w:rFonts w:hint="eastAsia"/>
      </w:rPr>
    </w:pPr>
    <w:bookmarkStart w:id="0" w:name="_Hlk195276699"/>
    <w:r>
      <w:rPr>
        <w:rFonts w:hint="eastAsia"/>
      </w:rPr>
      <w:t>配套《高中必刷题 化学 选择性必修1 化学反应原理 LK》使用</w:t>
    </w:r>
  </w:p>
  <w:bookmarkEnd w:id="0"/>
  <w:p w14:paraId="047E4AEC">
    <w:pPr>
      <w:pStyle w:val="12"/>
      <w:rPr>
        <w:rFonts w:hint="eastAsia"/>
      </w:rPr>
    </w:pPr>
    <w:bookmarkStart w:id="1" w:name="_GoBack"/>
    <w:r>
      <w:rPr>
        <w:rFonts w:cs="Times New Roman"/>
        <w:color w:val="000000" w:themeColor="text1"/>
        <w:sz w:val="20"/>
        <w:szCs w:val="20"/>
      </w:rPr>
      <w:drawing>
        <wp:anchor distT="0" distB="0" distL="114300" distR="114300" simplePos="0" relativeHeight="251661312" behindDoc="1" locked="0" layoutInCell="1" allowOverlap="1">
          <wp:simplePos x="0" y="0"/>
          <wp:positionH relativeFrom="column">
            <wp:posOffset>-1179195</wp:posOffset>
          </wp:positionH>
          <wp:positionV relativeFrom="paragraph">
            <wp:posOffset>-713740</wp:posOffset>
          </wp:positionV>
          <wp:extent cx="7595870" cy="10684510"/>
          <wp:effectExtent l="0" t="0" r="5080" b="2540"/>
          <wp:wrapNone/>
          <wp:docPr id="2" name="图片 2" descr="内页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内页1"/>
                  <pic:cNvPicPr>
                    <a:picLocks noChangeAspect="1"/>
                  </pic:cNvPicPr>
                </pic:nvPicPr>
                <pic:blipFill>
                  <a:blip r:embed="rId1"/>
                  <a:stretch>
                    <a:fillRect/>
                  </a:stretch>
                </pic:blipFill>
                <pic:spPr>
                  <a:xfrm>
                    <a:off x="0" y="0"/>
                    <a:ext cx="7595870" cy="10684510"/>
                  </a:xfrm>
                  <a:prstGeom prst="rect">
                    <a:avLst/>
                  </a:prstGeom>
                  <a:ln>
                    <a:noFill/>
                  </a:ln>
                </pic:spPr>
              </pic:pic>
            </a:graphicData>
          </a:graphic>
        </wp:anchor>
      </w:drawing>
    </w:r>
    <w:bookmarkEnd w:id="1"/>
    <w:r>
      <w:rPr>
        <w:rFonts w:hint="eastAsia"/>
        <w14:ligatures w14:val="none"/>
      </w:rPr>
      <w:pict>
        <v:shape id="WordPictureWatermark333275986" o:spid="_x0000_s1025" o:spt="75" type="#_x0000_t75" style="position:absolute;left:0pt;margin-left:2.65pt;margin-top:439.7pt;height:211.9pt;width:414.3pt;mso-position-horizontal-relative:margin;mso-position-vertical-relative:margin;z-index:-251657216;mso-width-relative:page;mso-height-relative:page;" filled="f" o:preferrelative="t" stroked="f" coordsize="21600,21600" o:allowincell="f">
          <v:path/>
          <v:fill on="f" focussize="0,0"/>
          <v:stroke on="f" joinstyle="miter"/>
          <v:imagedata r:id="rId2" o:title="1f7f41eadd1a609cd69613e89db4866"/>
          <o:lock v:ext="edit" aspectratio="t"/>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nforcement="0"/>
  <w:defaultTabStop w:val="420"/>
  <w:characterSpacingControl w:val="doNotCompress"/>
  <w:hdrShapeDefaults>
    <o:shapelayout v:ext="edit">
      <o:idmap v:ext="edit" data="1"/>
    </o:shapelayout>
  </w:hdrShapeDefaults>
  <w:compat>
    <w:useFELayout/>
    <w:compatSetting w:name="compatibilityMode" w:uri="http://schemas.microsoft.com/office/word" w:val="12"/>
  </w:compat>
  <w:rsids>
    <w:rsidRoot w:val="00EB12DE"/>
    <w:rsid w:val="00155F19"/>
    <w:rsid w:val="007E24E9"/>
    <w:rsid w:val="00947136"/>
    <w:rsid w:val="00953783"/>
    <w:rsid w:val="009677C6"/>
    <w:rsid w:val="009B49F6"/>
    <w:rsid w:val="009C5F64"/>
    <w:rsid w:val="00A034AF"/>
    <w:rsid w:val="00A65F3E"/>
    <w:rsid w:val="00A973C2"/>
    <w:rsid w:val="00BD097B"/>
    <w:rsid w:val="00E060BC"/>
    <w:rsid w:val="00E86B9B"/>
    <w:rsid w:val="00EB12DE"/>
    <w:rsid w:val="00EF44B5"/>
    <w:rsid w:val="21B55F7F"/>
    <w:rsid w:val="36260E9D"/>
    <w:rsid w:val="446454FC"/>
    <w:rsid w:val="6DAB1A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styleId="2">
    <w:name w:val="heading 1"/>
    <w:basedOn w:val="1"/>
    <w:next w:val="1"/>
    <w:link w:val="17"/>
    <w:qFormat/>
    <w:uiPriority w:val="9"/>
    <w:pPr>
      <w:keepNext/>
      <w:keepLines/>
      <w:spacing w:before="480" w:after="80"/>
      <w:outlineLvl w:val="0"/>
    </w:pPr>
    <w:rPr>
      <w:rFonts w:asciiTheme="majorHAnsi" w:hAnsiTheme="majorHAnsi" w:eastAsiaTheme="majorEastAsia" w:cstheme="majorBidi"/>
      <w:color w:val="0F4761" w:themeColor="accent1" w:themeShade="BF"/>
      <w:sz w:val="48"/>
      <w:szCs w:val="48"/>
    </w:rPr>
  </w:style>
  <w:style w:type="paragraph" w:styleId="3">
    <w:name w:val="heading 2"/>
    <w:basedOn w:val="1"/>
    <w:next w:val="1"/>
    <w:link w:val="18"/>
    <w:semiHidden/>
    <w:unhideWhenUsed/>
    <w:qFormat/>
    <w:uiPriority w:val="9"/>
    <w:pPr>
      <w:keepNext/>
      <w:keepLines/>
      <w:spacing w:before="160" w:after="80"/>
      <w:outlineLvl w:val="1"/>
    </w:pPr>
    <w:rPr>
      <w:rFonts w:asciiTheme="majorHAnsi" w:hAnsiTheme="majorHAnsi" w:eastAsiaTheme="majorEastAsia" w:cstheme="majorBidi"/>
      <w:color w:val="0F4761" w:themeColor="accent1" w:themeShade="BF"/>
      <w:sz w:val="40"/>
      <w:szCs w:val="40"/>
    </w:rPr>
  </w:style>
  <w:style w:type="paragraph" w:styleId="4">
    <w:name w:val="heading 3"/>
    <w:basedOn w:val="1"/>
    <w:next w:val="1"/>
    <w:link w:val="19"/>
    <w:semiHidden/>
    <w:unhideWhenUsed/>
    <w:qFormat/>
    <w:uiPriority w:val="9"/>
    <w:pPr>
      <w:keepNext/>
      <w:keepLines/>
      <w:spacing w:before="160" w:after="80"/>
      <w:outlineLvl w:val="2"/>
    </w:pPr>
    <w:rPr>
      <w:rFonts w:asciiTheme="majorHAnsi" w:hAnsiTheme="majorHAnsi" w:eastAsiaTheme="majorEastAsia" w:cstheme="majorBidi"/>
      <w:color w:val="0F4761" w:themeColor="accent1" w:themeShade="BF"/>
      <w:sz w:val="32"/>
      <w:szCs w:val="32"/>
    </w:rPr>
  </w:style>
  <w:style w:type="paragraph" w:styleId="5">
    <w:name w:val="heading 4"/>
    <w:basedOn w:val="1"/>
    <w:next w:val="1"/>
    <w:link w:val="20"/>
    <w:semiHidden/>
    <w:unhideWhenUsed/>
    <w:qFormat/>
    <w:uiPriority w:val="9"/>
    <w:pPr>
      <w:keepNext/>
      <w:keepLines/>
      <w:spacing w:before="80" w:after="40"/>
      <w:outlineLvl w:val="3"/>
    </w:pPr>
    <w:rPr>
      <w:rFonts w:cstheme="majorBidi"/>
      <w:color w:val="0F4761" w:themeColor="accent1" w:themeShade="BF"/>
      <w:sz w:val="28"/>
      <w:szCs w:val="28"/>
    </w:rPr>
  </w:style>
  <w:style w:type="paragraph" w:styleId="6">
    <w:name w:val="heading 5"/>
    <w:basedOn w:val="1"/>
    <w:next w:val="1"/>
    <w:link w:val="21"/>
    <w:semiHidden/>
    <w:unhideWhenUsed/>
    <w:qFormat/>
    <w:uiPriority w:val="9"/>
    <w:pPr>
      <w:keepNext/>
      <w:keepLines/>
      <w:spacing w:before="80" w:after="40"/>
      <w:outlineLvl w:val="4"/>
    </w:pPr>
    <w:rPr>
      <w:rFonts w:cstheme="majorBidi"/>
      <w:color w:val="0F4761" w:themeColor="accent1" w:themeShade="BF"/>
      <w:sz w:val="24"/>
      <w:szCs w:val="24"/>
    </w:rPr>
  </w:style>
  <w:style w:type="paragraph" w:styleId="7">
    <w:name w:val="heading 6"/>
    <w:basedOn w:val="1"/>
    <w:next w:val="1"/>
    <w:link w:val="22"/>
    <w:semiHidden/>
    <w:unhideWhenUsed/>
    <w:qFormat/>
    <w:uiPriority w:val="9"/>
    <w:pPr>
      <w:keepNext/>
      <w:keepLines/>
      <w:spacing w:before="40"/>
      <w:outlineLvl w:val="5"/>
    </w:pPr>
    <w:rPr>
      <w:rFonts w:cstheme="majorBidi"/>
      <w:b/>
      <w:bCs/>
      <w:color w:val="0F4761" w:themeColor="accent1" w:themeShade="BF"/>
    </w:rPr>
  </w:style>
  <w:style w:type="paragraph" w:styleId="8">
    <w:name w:val="heading 7"/>
    <w:basedOn w:val="1"/>
    <w:next w:val="1"/>
    <w:link w:val="23"/>
    <w:semiHidden/>
    <w:unhideWhenUsed/>
    <w:qFormat/>
    <w:uiPriority w:val="9"/>
    <w:pPr>
      <w:keepNext/>
      <w:keepLines/>
      <w:spacing w:before="40"/>
      <w:outlineLvl w:val="6"/>
    </w:pPr>
    <w:rPr>
      <w:rFonts w:cstheme="majorBidi"/>
      <w:b/>
      <w:bCs/>
      <w:color w:val="585858" w:themeColor="text1" w:themeTint="A6"/>
    </w:rPr>
  </w:style>
  <w:style w:type="paragraph" w:styleId="9">
    <w:name w:val="heading 8"/>
    <w:basedOn w:val="1"/>
    <w:next w:val="1"/>
    <w:link w:val="24"/>
    <w:semiHidden/>
    <w:unhideWhenUsed/>
    <w:qFormat/>
    <w:uiPriority w:val="9"/>
    <w:pPr>
      <w:keepNext/>
      <w:keepLines/>
      <w:outlineLvl w:val="7"/>
    </w:pPr>
    <w:rPr>
      <w:rFonts w:cstheme="majorBidi"/>
      <w:color w:val="585858" w:themeColor="text1" w:themeTint="A6"/>
    </w:rPr>
  </w:style>
  <w:style w:type="paragraph" w:styleId="10">
    <w:name w:val="heading 9"/>
    <w:basedOn w:val="1"/>
    <w:next w:val="1"/>
    <w:link w:val="25"/>
    <w:semiHidden/>
    <w:unhideWhenUsed/>
    <w:qFormat/>
    <w:uiPriority w:val="9"/>
    <w:pPr>
      <w:keepNext/>
      <w:keepLines/>
      <w:outlineLvl w:val="8"/>
    </w:pPr>
    <w:rPr>
      <w:rFonts w:eastAsiaTheme="majorEastAsia" w:cstheme="majorBidi"/>
      <w:color w:val="585858" w:themeColor="text1" w:themeTint="A6"/>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36"/>
    <w:unhideWhenUsed/>
    <w:qFormat/>
    <w:uiPriority w:val="99"/>
    <w:pPr>
      <w:tabs>
        <w:tab w:val="center" w:pos="4153"/>
        <w:tab w:val="right" w:pos="8306"/>
      </w:tabs>
      <w:snapToGrid w:val="0"/>
      <w:jc w:val="left"/>
    </w:pPr>
    <w:rPr>
      <w:sz w:val="18"/>
      <w:szCs w:val="18"/>
    </w:rPr>
  </w:style>
  <w:style w:type="paragraph" w:styleId="12">
    <w:name w:val="header"/>
    <w:basedOn w:val="1"/>
    <w:link w:val="35"/>
    <w:unhideWhenUsed/>
    <w:qFormat/>
    <w:uiPriority w:val="99"/>
    <w:pPr>
      <w:tabs>
        <w:tab w:val="center" w:pos="4153"/>
        <w:tab w:val="right" w:pos="8306"/>
      </w:tabs>
      <w:snapToGrid w:val="0"/>
      <w:jc w:val="center"/>
    </w:pPr>
    <w:rPr>
      <w:sz w:val="18"/>
      <w:szCs w:val="18"/>
    </w:rPr>
  </w:style>
  <w:style w:type="paragraph" w:styleId="13">
    <w:name w:val="Subtitle"/>
    <w:basedOn w:val="1"/>
    <w:next w:val="1"/>
    <w:link w:val="27"/>
    <w:qFormat/>
    <w:uiPriority w:val="11"/>
    <w:pPr>
      <w:spacing w:after="160"/>
      <w:jc w:val="center"/>
    </w:pPr>
    <w:rPr>
      <w:rFonts w:asciiTheme="majorHAnsi" w:hAnsiTheme="majorHAnsi" w:eastAsiaTheme="majorEastAsia" w:cstheme="majorBidi"/>
      <w:color w:val="585858" w:themeColor="text1" w:themeTint="A6"/>
      <w:spacing w:val="15"/>
      <w:sz w:val="28"/>
      <w:szCs w:val="28"/>
    </w:rPr>
  </w:style>
  <w:style w:type="paragraph" w:styleId="14">
    <w:name w:val="Title"/>
    <w:basedOn w:val="1"/>
    <w:next w:val="1"/>
    <w:link w:val="26"/>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17">
    <w:name w:val="标题 1 字符"/>
    <w:basedOn w:val="16"/>
    <w:link w:val="2"/>
    <w:qFormat/>
    <w:uiPriority w:val="9"/>
    <w:rPr>
      <w:rFonts w:asciiTheme="majorHAnsi" w:hAnsiTheme="majorHAnsi" w:eastAsiaTheme="majorEastAsia" w:cstheme="majorBidi"/>
      <w:color w:val="0F4761" w:themeColor="accent1" w:themeShade="BF"/>
      <w:sz w:val="48"/>
      <w:szCs w:val="48"/>
    </w:rPr>
  </w:style>
  <w:style w:type="character" w:customStyle="1" w:styleId="18">
    <w:name w:val="标题 2 字符"/>
    <w:basedOn w:val="16"/>
    <w:link w:val="3"/>
    <w:semiHidden/>
    <w:qFormat/>
    <w:uiPriority w:val="9"/>
    <w:rPr>
      <w:rFonts w:asciiTheme="majorHAnsi" w:hAnsiTheme="majorHAnsi" w:eastAsiaTheme="majorEastAsia" w:cstheme="majorBidi"/>
      <w:color w:val="0F4761" w:themeColor="accent1" w:themeShade="BF"/>
      <w:sz w:val="40"/>
      <w:szCs w:val="40"/>
    </w:rPr>
  </w:style>
  <w:style w:type="character" w:customStyle="1" w:styleId="19">
    <w:name w:val="标题 3 字符"/>
    <w:basedOn w:val="16"/>
    <w:link w:val="4"/>
    <w:semiHidden/>
    <w:qFormat/>
    <w:uiPriority w:val="9"/>
    <w:rPr>
      <w:rFonts w:asciiTheme="majorHAnsi" w:hAnsiTheme="majorHAnsi" w:eastAsiaTheme="majorEastAsia" w:cstheme="majorBidi"/>
      <w:color w:val="0F4761" w:themeColor="accent1" w:themeShade="BF"/>
      <w:sz w:val="32"/>
      <w:szCs w:val="32"/>
    </w:rPr>
  </w:style>
  <w:style w:type="character" w:customStyle="1" w:styleId="20">
    <w:name w:val="标题 4 字符"/>
    <w:basedOn w:val="16"/>
    <w:link w:val="5"/>
    <w:semiHidden/>
    <w:uiPriority w:val="9"/>
    <w:rPr>
      <w:rFonts w:cstheme="majorBidi"/>
      <w:color w:val="0F4761" w:themeColor="accent1" w:themeShade="BF"/>
      <w:sz w:val="28"/>
      <w:szCs w:val="28"/>
    </w:rPr>
  </w:style>
  <w:style w:type="character" w:customStyle="1" w:styleId="21">
    <w:name w:val="标题 5 字符"/>
    <w:basedOn w:val="16"/>
    <w:link w:val="6"/>
    <w:semiHidden/>
    <w:qFormat/>
    <w:uiPriority w:val="9"/>
    <w:rPr>
      <w:rFonts w:cstheme="majorBidi"/>
      <w:color w:val="0F4761" w:themeColor="accent1" w:themeShade="BF"/>
      <w:sz w:val="24"/>
      <w:szCs w:val="24"/>
    </w:rPr>
  </w:style>
  <w:style w:type="character" w:customStyle="1" w:styleId="22">
    <w:name w:val="标题 6 字符"/>
    <w:basedOn w:val="16"/>
    <w:link w:val="7"/>
    <w:semiHidden/>
    <w:qFormat/>
    <w:uiPriority w:val="9"/>
    <w:rPr>
      <w:rFonts w:cstheme="majorBidi"/>
      <w:b/>
      <w:bCs/>
      <w:color w:val="0F4761" w:themeColor="accent1" w:themeShade="BF"/>
    </w:rPr>
  </w:style>
  <w:style w:type="character" w:customStyle="1" w:styleId="23">
    <w:name w:val="标题 7 字符"/>
    <w:basedOn w:val="16"/>
    <w:link w:val="8"/>
    <w:semiHidden/>
    <w:qFormat/>
    <w:uiPriority w:val="9"/>
    <w:rPr>
      <w:rFonts w:cstheme="majorBidi"/>
      <w:b/>
      <w:bCs/>
      <w:color w:val="585858" w:themeColor="text1" w:themeTint="A6"/>
    </w:rPr>
  </w:style>
  <w:style w:type="character" w:customStyle="1" w:styleId="24">
    <w:name w:val="标题 8 字符"/>
    <w:basedOn w:val="16"/>
    <w:link w:val="9"/>
    <w:semiHidden/>
    <w:qFormat/>
    <w:uiPriority w:val="9"/>
    <w:rPr>
      <w:rFonts w:cstheme="majorBidi"/>
      <w:color w:val="585858" w:themeColor="text1" w:themeTint="A6"/>
    </w:rPr>
  </w:style>
  <w:style w:type="character" w:customStyle="1" w:styleId="25">
    <w:name w:val="标题 9 字符"/>
    <w:basedOn w:val="16"/>
    <w:link w:val="10"/>
    <w:semiHidden/>
    <w:qFormat/>
    <w:uiPriority w:val="9"/>
    <w:rPr>
      <w:rFonts w:eastAsiaTheme="majorEastAsia" w:cstheme="majorBidi"/>
      <w:color w:val="585858" w:themeColor="text1" w:themeTint="A6"/>
    </w:rPr>
  </w:style>
  <w:style w:type="character" w:customStyle="1" w:styleId="26">
    <w:name w:val="标题 字符"/>
    <w:basedOn w:val="16"/>
    <w:link w:val="14"/>
    <w:qFormat/>
    <w:uiPriority w:val="10"/>
    <w:rPr>
      <w:rFonts w:asciiTheme="majorHAnsi" w:hAnsiTheme="majorHAnsi" w:eastAsiaTheme="majorEastAsia" w:cstheme="majorBidi"/>
      <w:spacing w:val="-10"/>
      <w:kern w:val="28"/>
      <w:sz w:val="56"/>
      <w:szCs w:val="56"/>
    </w:rPr>
  </w:style>
  <w:style w:type="character" w:customStyle="1" w:styleId="27">
    <w:name w:val="副标题 字符"/>
    <w:basedOn w:val="16"/>
    <w:link w:val="13"/>
    <w:qFormat/>
    <w:uiPriority w:val="11"/>
    <w:rPr>
      <w:rFonts w:asciiTheme="majorHAnsi" w:hAnsiTheme="majorHAnsi" w:eastAsiaTheme="majorEastAsia" w:cstheme="majorBidi"/>
      <w:color w:val="585858" w:themeColor="text1" w:themeTint="A6"/>
      <w:spacing w:val="15"/>
      <w:sz w:val="28"/>
      <w:szCs w:val="28"/>
    </w:rPr>
  </w:style>
  <w:style w:type="paragraph" w:styleId="28">
    <w:name w:val="Quote"/>
    <w:basedOn w:val="1"/>
    <w:next w:val="1"/>
    <w:link w:val="29"/>
    <w:qFormat/>
    <w:uiPriority w:val="29"/>
    <w:pPr>
      <w:spacing w:before="160" w:after="160"/>
      <w:jc w:val="center"/>
    </w:pPr>
    <w:rPr>
      <w:i/>
      <w:iCs/>
      <w:color w:val="3F3F3F" w:themeColor="text1" w:themeTint="BF"/>
    </w:rPr>
  </w:style>
  <w:style w:type="character" w:customStyle="1" w:styleId="29">
    <w:name w:val="引用 字符"/>
    <w:basedOn w:val="16"/>
    <w:link w:val="28"/>
    <w:qFormat/>
    <w:uiPriority w:val="29"/>
    <w:rPr>
      <w:i/>
      <w:iCs/>
      <w:color w:val="3F3F3F" w:themeColor="text1" w:themeTint="BF"/>
    </w:rPr>
  </w:style>
  <w:style w:type="paragraph" w:styleId="30">
    <w:name w:val="List Paragraph"/>
    <w:basedOn w:val="1"/>
    <w:qFormat/>
    <w:uiPriority w:val="34"/>
    <w:pPr>
      <w:ind w:left="720"/>
      <w:contextualSpacing/>
    </w:pPr>
  </w:style>
  <w:style w:type="character" w:customStyle="1" w:styleId="31">
    <w:name w:val="明显强调1"/>
    <w:basedOn w:val="16"/>
    <w:qFormat/>
    <w:uiPriority w:val="21"/>
    <w:rPr>
      <w:i/>
      <w:iCs/>
      <w:color w:val="0F4761" w:themeColor="accent1" w:themeShade="BF"/>
    </w:rPr>
  </w:style>
  <w:style w:type="paragraph" w:styleId="32">
    <w:name w:val="Intense Quote"/>
    <w:basedOn w:val="1"/>
    <w:next w:val="1"/>
    <w:link w:val="3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customStyle="1" w:styleId="33">
    <w:name w:val="明显引用 字符"/>
    <w:basedOn w:val="16"/>
    <w:link w:val="32"/>
    <w:qFormat/>
    <w:uiPriority w:val="30"/>
    <w:rPr>
      <w:i/>
      <w:iCs/>
      <w:color w:val="0F4761" w:themeColor="accent1" w:themeShade="BF"/>
    </w:rPr>
  </w:style>
  <w:style w:type="character" w:customStyle="1" w:styleId="34">
    <w:name w:val="明显参考1"/>
    <w:basedOn w:val="16"/>
    <w:qFormat/>
    <w:uiPriority w:val="32"/>
    <w:rPr>
      <w:b/>
      <w:bCs/>
      <w:smallCaps/>
      <w:color w:val="0F4761" w:themeColor="accent1" w:themeShade="BF"/>
      <w:spacing w:val="5"/>
    </w:rPr>
  </w:style>
  <w:style w:type="character" w:customStyle="1" w:styleId="35">
    <w:name w:val="页眉 字符"/>
    <w:basedOn w:val="16"/>
    <w:link w:val="12"/>
    <w:qFormat/>
    <w:uiPriority w:val="99"/>
    <w:rPr>
      <w:sz w:val="18"/>
      <w:szCs w:val="18"/>
    </w:rPr>
  </w:style>
  <w:style w:type="character" w:customStyle="1" w:styleId="36">
    <w:name w:val="页脚 字符"/>
    <w:basedOn w:val="16"/>
    <w:link w:val="11"/>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3.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5"/>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609</Words>
  <Characters>692</Characters>
  <Lines>26</Lines>
  <Paragraphs>24</Paragraphs>
  <TotalTime>0</TotalTime>
  <ScaleCrop>false</ScaleCrop>
  <LinksUpToDate>false</LinksUpToDate>
  <CharactersWithSpaces>954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2025-04-02T01:44:00Z</dcterms:created>
  <dc:creator>1224348813@qq.com</dc:creator>
  <cp:lastModifiedBy>刘岩</cp:lastModifiedBy>
  <dcterms:modified xsi:type="dcterms:W3CDTF">2026-03-20T01:46:06Z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eyJoZGlkIjoiMWE4NDgxMDJjYTUzNThiNTk2ZDRlY2Y2M2MyNzg3NDgiLCJ1c2VySWQiOiIyNjc4NDU0NTgifQ==</vt:lpwstr>
  </property>
  <property fmtid="{D5CDD505-2E9C-101B-9397-08002B2CF9AE}" pid="3" name="KSOProductBuildVer">
    <vt:lpwstr>2052-12.1.0.25225</vt:lpwstr>
  </property>
  <property fmtid="{D5CDD505-2E9C-101B-9397-08002B2CF9AE}" pid="4" name="ICV">
    <vt:lpwstr>C362BB51DBEF4B959D55FA1B310DF664_12</vt:lpwstr>
  </property>
</Properties>
</file>